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DBE" w:rsidRPr="00950CC3" w:rsidRDefault="00176DBE" w:rsidP="00950CC3">
      <w:pPr>
        <w:spacing w:after="0"/>
        <w:jc w:val="center"/>
        <w:rPr>
          <w:rFonts w:eastAsia="Times New Roman"/>
          <w:b/>
          <w:sz w:val="36"/>
          <w:szCs w:val="36"/>
        </w:rPr>
      </w:pPr>
      <w:r w:rsidRPr="006476B4">
        <w:rPr>
          <w:rFonts w:eastAsia="Times New Roman"/>
          <w:b/>
          <w:sz w:val="36"/>
          <w:szCs w:val="36"/>
        </w:rPr>
        <w:t>Výkaz výměr</w:t>
      </w:r>
    </w:p>
    <w:p w:rsidR="00DB3207" w:rsidRPr="00176DBE" w:rsidRDefault="00DB3207" w:rsidP="00DB3207">
      <w:pPr>
        <w:widowControl w:val="0"/>
        <w:overflowPunct w:val="0"/>
        <w:autoSpaceDE w:val="0"/>
        <w:autoSpaceDN w:val="0"/>
        <w:adjustRightInd w:val="0"/>
        <w:spacing w:after="0"/>
        <w:ind w:left="709" w:hanging="709"/>
        <w:textAlignment w:val="baseline"/>
        <w:rPr>
          <w:rFonts w:eastAsia="Times New Roman"/>
          <w:kern w:val="28"/>
          <w:u w:val="single"/>
        </w:rPr>
      </w:pPr>
      <w:r w:rsidRPr="00176DBE">
        <w:rPr>
          <w:rFonts w:eastAsia="Times New Roman"/>
          <w:kern w:val="28"/>
          <w:u w:val="single"/>
        </w:rPr>
        <w:t>Účastník</w:t>
      </w:r>
    </w:p>
    <w:p w:rsidR="00DB3207" w:rsidRPr="00176DBE" w:rsidRDefault="00DB3207" w:rsidP="00DB3207">
      <w:pPr>
        <w:tabs>
          <w:tab w:val="num" w:pos="426"/>
          <w:tab w:val="left" w:pos="3119"/>
        </w:tabs>
        <w:spacing w:after="60"/>
        <w:rPr>
          <w:rFonts w:eastAsia="Times New Roman"/>
        </w:rPr>
      </w:pPr>
      <w:r w:rsidRPr="00176DBE">
        <w:rPr>
          <w:rFonts w:eastAsia="Times New Roman"/>
        </w:rPr>
        <w:t>Název:</w:t>
      </w:r>
      <w:r w:rsidRPr="00176DBE">
        <w:rPr>
          <w:rFonts w:eastAsia="Times New Roman"/>
        </w:rPr>
        <w:tab/>
      </w:r>
    </w:p>
    <w:p w:rsidR="00DB3207" w:rsidRPr="00176DBE" w:rsidRDefault="00DB3207" w:rsidP="00DB3207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176DBE">
        <w:rPr>
          <w:rFonts w:eastAsia="Times New Roman"/>
          <w:kern w:val="28"/>
        </w:rPr>
        <w:t xml:space="preserve">Sídlo: </w:t>
      </w:r>
    </w:p>
    <w:p w:rsidR="00DB3207" w:rsidRPr="00176DBE" w:rsidRDefault="00DB3207" w:rsidP="00DB3207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176DBE">
        <w:rPr>
          <w:rFonts w:eastAsia="Times New Roman"/>
          <w:kern w:val="28"/>
        </w:rPr>
        <w:t>IČ:</w:t>
      </w:r>
    </w:p>
    <w:p w:rsidR="00DB3207" w:rsidRPr="00176DBE" w:rsidRDefault="00DB3207" w:rsidP="00DB3207">
      <w:pPr>
        <w:widowControl w:val="0"/>
        <w:overflowPunct w:val="0"/>
        <w:autoSpaceDE w:val="0"/>
        <w:autoSpaceDN w:val="0"/>
        <w:adjustRightInd w:val="0"/>
        <w:spacing w:after="60"/>
        <w:ind w:left="709" w:hanging="709"/>
        <w:textAlignment w:val="baseline"/>
        <w:rPr>
          <w:rFonts w:eastAsia="Times New Roman"/>
          <w:kern w:val="28"/>
        </w:rPr>
      </w:pPr>
      <w:r w:rsidRPr="00176DBE">
        <w:rPr>
          <w:rFonts w:eastAsia="Times New Roman"/>
          <w:kern w:val="28"/>
        </w:rPr>
        <w:t xml:space="preserve">Statutární orgán: </w:t>
      </w:r>
    </w:p>
    <w:p w:rsidR="00DB3207" w:rsidRPr="00176DBE" w:rsidRDefault="00DB3207" w:rsidP="00942F20">
      <w:pPr>
        <w:spacing w:after="0"/>
        <w:jc w:val="left"/>
        <w:rPr>
          <w:rFonts w:eastAsia="Times New Roman"/>
          <w:sz w:val="20"/>
          <w:szCs w:val="20"/>
          <w:highlight w:val="yellow"/>
        </w:rPr>
      </w:pPr>
    </w:p>
    <w:p w:rsidR="006512C5" w:rsidRPr="00FC09FE" w:rsidRDefault="006512C5" w:rsidP="006512C5">
      <w:pPr>
        <w:numPr>
          <w:ilvl w:val="0"/>
          <w:numId w:val="4"/>
        </w:numPr>
        <w:suppressAutoHyphens/>
        <w:overflowPunct w:val="0"/>
        <w:spacing w:after="120"/>
        <w:rPr>
          <w:rFonts w:eastAsia="SimSun"/>
          <w:color w:val="000000"/>
          <w:lang w:eastAsia="ar-SA"/>
        </w:rPr>
      </w:pPr>
      <w:r w:rsidRPr="00FC09FE">
        <w:rPr>
          <w:rFonts w:eastAsia="SimSun"/>
          <w:color w:val="000000"/>
          <w:lang w:eastAsia="ar-SA"/>
        </w:rPr>
        <w:t>Dodávka</w:t>
      </w:r>
      <w:r>
        <w:rPr>
          <w:rFonts w:eastAsia="SimSun"/>
          <w:color w:val="000000"/>
          <w:lang w:eastAsia="ar-SA"/>
        </w:rPr>
        <w:t>, a tedy i cena,</w:t>
      </w:r>
      <w:r w:rsidRPr="00FC09FE">
        <w:rPr>
          <w:rFonts w:eastAsia="SimSun"/>
          <w:color w:val="000000"/>
          <w:lang w:eastAsia="ar-SA"/>
        </w:rPr>
        <w:t xml:space="preserve"> musí zahrnovat veškeré náklady spoj</w:t>
      </w:r>
      <w:r>
        <w:rPr>
          <w:rFonts w:eastAsia="SimSun"/>
          <w:color w:val="000000"/>
          <w:lang w:eastAsia="ar-SA"/>
        </w:rPr>
        <w:t>ené s dodávkou do mí</w:t>
      </w:r>
      <w:bookmarkStart w:id="0" w:name="_GoBack"/>
      <w:bookmarkEnd w:id="0"/>
      <w:r>
        <w:rPr>
          <w:rFonts w:eastAsia="SimSun"/>
          <w:color w:val="000000"/>
          <w:lang w:eastAsia="ar-SA"/>
        </w:rPr>
        <w:t xml:space="preserve">sta plnění </w:t>
      </w:r>
      <w:r w:rsidRPr="00FC09FE">
        <w:rPr>
          <w:rFonts w:eastAsia="SimSun"/>
          <w:color w:val="000000"/>
          <w:lang w:eastAsia="ar-SA"/>
        </w:rPr>
        <w:t xml:space="preserve">tj. </w:t>
      </w:r>
      <w:r w:rsidRPr="00FC09FE">
        <w:rPr>
          <w:rFonts w:eastAsia="SimSun"/>
          <w:b/>
          <w:color w:val="000000"/>
          <w:lang w:eastAsia="ar-SA"/>
        </w:rPr>
        <w:t xml:space="preserve">doprava </w:t>
      </w:r>
      <w:r w:rsidRPr="00FC09FE">
        <w:rPr>
          <w:rFonts w:eastAsia="SimSun"/>
          <w:b/>
          <w:bCs/>
          <w:iCs/>
          <w:color w:val="000000"/>
          <w:lang w:eastAsia="ar-SA"/>
        </w:rPr>
        <w:t>zboží/</w:t>
      </w:r>
      <w:r w:rsidR="00AE7E53">
        <w:rPr>
          <w:rFonts w:eastAsia="SimSun"/>
          <w:b/>
          <w:bCs/>
          <w:iCs/>
          <w:color w:val="000000"/>
          <w:lang w:eastAsia="ar-SA"/>
        </w:rPr>
        <w:t>vybavení</w:t>
      </w:r>
      <w:r w:rsidRPr="00FC09FE">
        <w:rPr>
          <w:rFonts w:eastAsia="SimSun"/>
          <w:b/>
          <w:color w:val="000000"/>
          <w:lang w:eastAsia="ar-SA"/>
        </w:rPr>
        <w:t xml:space="preserve"> do místa plnění</w:t>
      </w:r>
      <w:r w:rsidRPr="00FC09FE">
        <w:rPr>
          <w:rFonts w:eastAsia="SimSun"/>
          <w:color w:val="000000"/>
          <w:lang w:eastAsia="ar-SA"/>
        </w:rPr>
        <w:t>, školení pracovníků apod.</w:t>
      </w:r>
    </w:p>
    <w:p w:rsidR="006512C5" w:rsidRPr="00FC09FE" w:rsidRDefault="006512C5" w:rsidP="006512C5">
      <w:pPr>
        <w:numPr>
          <w:ilvl w:val="0"/>
          <w:numId w:val="4"/>
        </w:numPr>
        <w:suppressAutoHyphens/>
        <w:overflowPunct w:val="0"/>
        <w:spacing w:after="120"/>
        <w:rPr>
          <w:rFonts w:eastAsia="SimSun"/>
          <w:color w:val="000000"/>
          <w:lang w:eastAsia="ar-SA"/>
        </w:rPr>
      </w:pPr>
      <w:r w:rsidRPr="00FC09FE">
        <w:rPr>
          <w:rFonts w:eastAsia="SimSun"/>
          <w:b/>
          <w:color w:val="000000"/>
          <w:lang w:eastAsia="ar-SA"/>
        </w:rPr>
        <w:t xml:space="preserve">Dodané </w:t>
      </w:r>
      <w:r w:rsidRPr="00FC09FE">
        <w:rPr>
          <w:rFonts w:eastAsia="SimSun"/>
          <w:b/>
          <w:bCs/>
          <w:iCs/>
          <w:color w:val="000000"/>
          <w:lang w:eastAsia="ar-SA"/>
        </w:rPr>
        <w:t>zboží/</w:t>
      </w:r>
      <w:r w:rsidR="00AE7E53">
        <w:rPr>
          <w:rFonts w:eastAsia="SimSun"/>
          <w:b/>
          <w:bCs/>
          <w:iCs/>
          <w:color w:val="000000"/>
          <w:lang w:eastAsia="ar-SA"/>
        </w:rPr>
        <w:t>vybavení</w:t>
      </w:r>
      <w:r w:rsidR="00AE7E53">
        <w:rPr>
          <w:rFonts w:eastAsia="SimSun"/>
          <w:b/>
          <w:color w:val="000000"/>
          <w:lang w:eastAsia="ar-SA"/>
        </w:rPr>
        <w:t xml:space="preserve"> musí být nové</w:t>
      </w:r>
      <w:r w:rsidR="00AE7E53">
        <w:rPr>
          <w:rFonts w:eastAsia="SimSun"/>
          <w:color w:val="000000"/>
          <w:lang w:eastAsia="ar-SA"/>
        </w:rPr>
        <w:t>, dosud nepoužité</w:t>
      </w:r>
      <w:r w:rsidRPr="00FC09FE">
        <w:rPr>
          <w:rFonts w:eastAsia="SimSun"/>
          <w:color w:val="000000"/>
          <w:lang w:eastAsia="ar-SA"/>
        </w:rPr>
        <w:t xml:space="preserve"> a musí splňovat veškeré požadavky příslušných obecně závazných právních předpisů, technických norem, platných předpisů a norem pro tyto produkty. </w:t>
      </w:r>
    </w:p>
    <w:p w:rsidR="00DB3207" w:rsidRPr="00176DBE" w:rsidRDefault="00DB3207" w:rsidP="00942F20">
      <w:pPr>
        <w:spacing w:after="0"/>
        <w:jc w:val="center"/>
        <w:rPr>
          <w:rFonts w:eastAsia="Times New Roman"/>
          <w:highlight w:val="yellow"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993"/>
        <w:gridCol w:w="1275"/>
        <w:gridCol w:w="1843"/>
        <w:gridCol w:w="892"/>
        <w:gridCol w:w="1578"/>
      </w:tblGrid>
      <w:tr w:rsidR="008E2368" w:rsidRPr="00176DBE" w:rsidTr="00AE7E53">
        <w:tc>
          <w:tcPr>
            <w:tcW w:w="2835" w:type="dxa"/>
            <w:shd w:val="clear" w:color="auto" w:fill="92D050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  <w:rPr>
                <w:b/>
              </w:rPr>
            </w:pPr>
            <w:r w:rsidRPr="00176DBE">
              <w:rPr>
                <w:b/>
              </w:rPr>
              <w:t>Typ vybavení</w:t>
            </w:r>
          </w:p>
        </w:tc>
        <w:tc>
          <w:tcPr>
            <w:tcW w:w="993" w:type="dxa"/>
            <w:shd w:val="clear" w:color="auto" w:fill="92D050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176DBE">
              <w:rPr>
                <w:b/>
              </w:rPr>
              <w:t>Počet ks</w:t>
            </w:r>
          </w:p>
        </w:tc>
        <w:tc>
          <w:tcPr>
            <w:tcW w:w="1275" w:type="dxa"/>
            <w:shd w:val="clear" w:color="auto" w:fill="92D050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176DBE">
              <w:rPr>
                <w:b/>
              </w:rPr>
              <w:t>Jednotková cena</w:t>
            </w:r>
            <w:r w:rsidR="00B75B0D">
              <w:rPr>
                <w:b/>
              </w:rPr>
              <w:t xml:space="preserve"> v Kč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176DBE">
              <w:rPr>
                <w:b/>
              </w:rPr>
              <w:t>Cena celkem bez DPH</w:t>
            </w:r>
            <w:r w:rsidR="00B75B0D">
              <w:rPr>
                <w:b/>
              </w:rPr>
              <w:t xml:space="preserve"> v Kč</w:t>
            </w:r>
          </w:p>
        </w:tc>
        <w:tc>
          <w:tcPr>
            <w:tcW w:w="892" w:type="dxa"/>
            <w:shd w:val="clear" w:color="auto" w:fill="92D050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176DBE">
              <w:rPr>
                <w:b/>
              </w:rPr>
              <w:t>DPH</w:t>
            </w:r>
            <w:r w:rsidR="00B75B0D">
              <w:rPr>
                <w:b/>
              </w:rPr>
              <w:t xml:space="preserve"> v Kč </w:t>
            </w:r>
          </w:p>
        </w:tc>
        <w:tc>
          <w:tcPr>
            <w:tcW w:w="1578" w:type="dxa"/>
            <w:shd w:val="clear" w:color="auto" w:fill="92D050"/>
            <w:vAlign w:val="center"/>
          </w:tcPr>
          <w:p w:rsidR="008E2368" w:rsidRPr="00176DBE" w:rsidRDefault="00B75B0D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Cena včetně</w:t>
            </w:r>
            <w:r w:rsidR="008E2368" w:rsidRPr="00176DBE">
              <w:rPr>
                <w:b/>
              </w:rPr>
              <w:t xml:space="preserve"> DPH</w:t>
            </w:r>
            <w:r>
              <w:rPr>
                <w:b/>
              </w:rPr>
              <w:t xml:space="preserve"> v Kč</w:t>
            </w:r>
          </w:p>
        </w:tc>
      </w:tr>
      <w:tr w:rsidR="008E2368" w:rsidRPr="00176DBE" w:rsidTr="00AE7E53">
        <w:trPr>
          <w:trHeight w:val="501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8E2368" w:rsidRPr="00176DBE" w:rsidRDefault="00C62303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Nádoba na plast 120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368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1 200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8E2368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8E2368" w:rsidRPr="00176DBE" w:rsidRDefault="00C62303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Nádoba na papír 120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368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1 200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8E2368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8E2368" w:rsidRPr="00176DBE" w:rsidRDefault="008E2368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 w:rsidRPr="00176DBE">
              <w:rPr>
                <w:b/>
                <w:bCs/>
              </w:rPr>
              <w:t xml:space="preserve">Nádoba </w:t>
            </w:r>
            <w:r w:rsidR="00C62303">
              <w:rPr>
                <w:b/>
                <w:bCs/>
              </w:rPr>
              <w:t>na BRO 120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368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8E2368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8E2368" w:rsidRPr="00176DBE" w:rsidRDefault="00D34702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 w:rsidRPr="00176DBE">
              <w:rPr>
                <w:b/>
                <w:bCs/>
              </w:rPr>
              <w:t xml:space="preserve">Nádoba </w:t>
            </w:r>
            <w:r w:rsidR="00C62303">
              <w:rPr>
                <w:b/>
                <w:bCs/>
              </w:rPr>
              <w:t>na plast 240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E2368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D34702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D34702" w:rsidRPr="00176DBE" w:rsidRDefault="00D34702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 w:rsidRPr="00176DBE">
              <w:rPr>
                <w:b/>
                <w:bCs/>
              </w:rPr>
              <w:t xml:space="preserve">Nádoba </w:t>
            </w:r>
            <w:r w:rsidR="00C62303">
              <w:rPr>
                <w:b/>
                <w:bCs/>
              </w:rPr>
              <w:t>na papír</w:t>
            </w:r>
            <w:r>
              <w:rPr>
                <w:b/>
                <w:bCs/>
              </w:rPr>
              <w:t xml:space="preserve"> 240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702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70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D34702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D34702" w:rsidRPr="00176DBE" w:rsidRDefault="00D34702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 w:rsidRPr="00176DBE">
              <w:rPr>
                <w:b/>
                <w:bCs/>
              </w:rPr>
              <w:t xml:space="preserve">Nádoba </w:t>
            </w:r>
            <w:r w:rsidR="00C62303">
              <w:rPr>
                <w:b/>
                <w:bCs/>
              </w:rPr>
              <w:t>na kovy 240</w:t>
            </w:r>
            <w:r>
              <w:rPr>
                <w:b/>
                <w:bCs/>
              </w:rPr>
              <w:t xml:space="preserve">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34702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15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D34702" w:rsidRPr="00176DBE" w:rsidRDefault="00D34702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EC2524" w:rsidRPr="00176DBE" w:rsidTr="00432D02">
        <w:trPr>
          <w:trHeight w:val="423"/>
        </w:trPr>
        <w:tc>
          <w:tcPr>
            <w:tcW w:w="2835" w:type="dxa"/>
            <w:shd w:val="clear" w:color="auto" w:fill="EAF1DD"/>
            <w:vAlign w:val="center"/>
          </w:tcPr>
          <w:p w:rsidR="00EC2524" w:rsidRPr="00717F26" w:rsidRDefault="00EC2524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  <w:sz w:val="22"/>
                <w:szCs w:val="22"/>
              </w:rPr>
            </w:pPr>
            <w:r w:rsidRPr="00717F26">
              <w:rPr>
                <w:b/>
                <w:bCs/>
                <w:sz w:val="22"/>
                <w:szCs w:val="22"/>
              </w:rPr>
              <w:t>Nádoba na plast s „horním výsypem“ 1 100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524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EC2524" w:rsidRPr="00176DBE" w:rsidTr="00432D02">
        <w:trPr>
          <w:trHeight w:val="423"/>
        </w:trPr>
        <w:tc>
          <w:tcPr>
            <w:tcW w:w="2835" w:type="dxa"/>
            <w:shd w:val="clear" w:color="auto" w:fill="EAF1DD"/>
            <w:vAlign w:val="center"/>
          </w:tcPr>
          <w:p w:rsidR="00EC2524" w:rsidRPr="00717F26" w:rsidRDefault="00EC2524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  <w:sz w:val="22"/>
                <w:szCs w:val="22"/>
              </w:rPr>
            </w:pPr>
            <w:r w:rsidRPr="00717F26">
              <w:rPr>
                <w:b/>
                <w:bCs/>
                <w:sz w:val="22"/>
                <w:szCs w:val="22"/>
              </w:rPr>
              <w:t>Nádoba na papír s „horním výsypem“ 1 100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2524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EC2524" w:rsidRPr="00176DBE" w:rsidRDefault="00EC2524" w:rsidP="00EC2524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C62303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C62303" w:rsidRPr="00176DBE" w:rsidRDefault="00C62303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VOK na BRO</w:t>
            </w:r>
            <w:r w:rsidR="00DF56E7">
              <w:rPr>
                <w:b/>
                <w:bCs/>
              </w:rPr>
              <w:t xml:space="preserve"> o objemu </w:t>
            </w:r>
            <w:r w:rsidR="009A2F6D">
              <w:rPr>
                <w:b/>
                <w:bCs/>
              </w:rPr>
              <w:t xml:space="preserve">min. </w:t>
            </w:r>
            <w:r w:rsidR="00CE4EC9">
              <w:rPr>
                <w:b/>
                <w:bCs/>
              </w:rPr>
              <w:t>9</w:t>
            </w:r>
            <w:r w:rsidR="00DF56E7">
              <w:rPr>
                <w:b/>
                <w:bCs/>
              </w:rPr>
              <w:t xml:space="preserve"> m</w:t>
            </w:r>
            <w:r w:rsidR="00DF56E7" w:rsidRPr="00DF56E7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2303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C62303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C62303" w:rsidRPr="00176DBE" w:rsidRDefault="00C62303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VOK na objemný odpad</w:t>
            </w:r>
            <w:r w:rsidR="00DF56E7">
              <w:rPr>
                <w:b/>
                <w:bCs/>
              </w:rPr>
              <w:t xml:space="preserve"> o objemu </w:t>
            </w:r>
            <w:r w:rsidR="009A2F6D">
              <w:rPr>
                <w:b/>
                <w:bCs/>
              </w:rPr>
              <w:t xml:space="preserve">min. </w:t>
            </w:r>
            <w:r w:rsidR="00CE4EC9">
              <w:rPr>
                <w:b/>
                <w:bCs/>
              </w:rPr>
              <w:t>9</w:t>
            </w:r>
            <w:r w:rsidR="00DF56E7">
              <w:rPr>
                <w:b/>
                <w:bCs/>
              </w:rPr>
              <w:t xml:space="preserve"> m</w:t>
            </w:r>
            <w:r w:rsidR="00DF56E7" w:rsidRPr="00DF56E7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2303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C62303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C62303" w:rsidRDefault="00C62303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Interiérové </w:t>
            </w:r>
            <w:proofErr w:type="spellStart"/>
            <w:r w:rsidR="007D1D19">
              <w:rPr>
                <w:b/>
                <w:bCs/>
              </w:rPr>
              <w:t>troj</w:t>
            </w:r>
            <w:r>
              <w:rPr>
                <w:b/>
                <w:bCs/>
              </w:rPr>
              <w:t>koše</w:t>
            </w:r>
            <w:proofErr w:type="spellEnd"/>
            <w:r>
              <w:rPr>
                <w:b/>
                <w:bCs/>
              </w:rPr>
              <w:t xml:space="preserve"> na tříděný odpad</w:t>
            </w:r>
            <w:r w:rsidR="00A36842">
              <w:rPr>
                <w:b/>
                <w:bCs/>
              </w:rPr>
              <w:t xml:space="preserve"> 3x40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2303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C62303" w:rsidRPr="00176DBE" w:rsidTr="00AE7E53">
        <w:trPr>
          <w:trHeight w:val="423"/>
        </w:trPr>
        <w:tc>
          <w:tcPr>
            <w:tcW w:w="2835" w:type="dxa"/>
            <w:shd w:val="clear" w:color="auto" w:fill="EAF1DD" w:themeFill="accent3" w:themeFillTint="33"/>
            <w:vAlign w:val="center"/>
          </w:tcPr>
          <w:p w:rsidR="00C62303" w:rsidRDefault="00C62303" w:rsidP="00667475">
            <w:pPr>
              <w:autoSpaceDE w:val="0"/>
              <w:autoSpaceDN w:val="0"/>
              <w:adjustRightInd w:val="0"/>
              <w:spacing w:before="60" w:after="60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Venkovní </w:t>
            </w:r>
            <w:proofErr w:type="spellStart"/>
            <w:r w:rsidR="007D1D19">
              <w:rPr>
                <w:b/>
                <w:bCs/>
              </w:rPr>
              <w:t>troj</w:t>
            </w:r>
            <w:r>
              <w:rPr>
                <w:b/>
                <w:bCs/>
              </w:rPr>
              <w:t>koše</w:t>
            </w:r>
            <w:proofErr w:type="spellEnd"/>
            <w:r>
              <w:rPr>
                <w:b/>
                <w:bCs/>
              </w:rPr>
              <w:t xml:space="preserve"> na tříděný odpad</w:t>
            </w:r>
            <w:r w:rsidR="00A36842">
              <w:rPr>
                <w:b/>
                <w:bCs/>
              </w:rPr>
              <w:t xml:space="preserve"> 3x40 l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2303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  <w: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auto"/>
            <w:vAlign w:val="center"/>
          </w:tcPr>
          <w:p w:rsidR="00C62303" w:rsidRPr="00176DBE" w:rsidRDefault="00C62303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  <w:tr w:rsidR="008E2368" w:rsidRPr="00176DBE" w:rsidTr="00AE7E53">
        <w:tc>
          <w:tcPr>
            <w:tcW w:w="5103" w:type="dxa"/>
            <w:gridSpan w:val="3"/>
            <w:shd w:val="clear" w:color="auto" w:fill="EAF1DD" w:themeFill="accent3" w:themeFillTint="33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57" w:hanging="357"/>
              <w:jc w:val="center"/>
              <w:rPr>
                <w:b/>
              </w:rPr>
            </w:pPr>
            <w:r w:rsidRPr="00176DBE">
              <w:rPr>
                <w:rFonts w:eastAsia="Times New Roman"/>
                <w:b/>
                <w:bCs/>
              </w:rPr>
              <w:t>Celková nabídková cena</w:t>
            </w:r>
          </w:p>
        </w:tc>
        <w:tc>
          <w:tcPr>
            <w:tcW w:w="1843" w:type="dxa"/>
            <w:shd w:val="clear" w:color="auto" w:fill="92D050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892" w:type="dxa"/>
            <w:shd w:val="clear" w:color="auto" w:fill="EAF1DD" w:themeFill="accent3" w:themeFillTint="33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  <w:tc>
          <w:tcPr>
            <w:tcW w:w="1578" w:type="dxa"/>
            <w:shd w:val="clear" w:color="auto" w:fill="EAF1DD" w:themeFill="accent3" w:themeFillTint="33"/>
            <w:vAlign w:val="center"/>
          </w:tcPr>
          <w:p w:rsidR="008E2368" w:rsidRPr="00176DBE" w:rsidRDefault="008E2368" w:rsidP="00176DBE">
            <w:pPr>
              <w:autoSpaceDE w:val="0"/>
              <w:autoSpaceDN w:val="0"/>
              <w:adjustRightInd w:val="0"/>
              <w:spacing w:before="60" w:after="60"/>
              <w:ind w:left="360" w:hanging="360"/>
              <w:jc w:val="center"/>
            </w:pPr>
          </w:p>
        </w:tc>
      </w:tr>
    </w:tbl>
    <w:p w:rsidR="00C62303" w:rsidRDefault="00C62303" w:rsidP="00A36842">
      <w:pPr>
        <w:spacing w:after="0"/>
      </w:pPr>
    </w:p>
    <w:p w:rsidR="00DB3207" w:rsidRPr="00176DBE" w:rsidRDefault="003243E4" w:rsidP="00D43B05">
      <w:pPr>
        <w:spacing w:after="0"/>
        <w:ind w:left="357"/>
      </w:pPr>
      <w:r w:rsidRPr="00176DBE">
        <w:t>V ……</w:t>
      </w:r>
      <w:proofErr w:type="gramStart"/>
      <w:r w:rsidRPr="00176DBE">
        <w:t>…..…</w:t>
      </w:r>
      <w:proofErr w:type="gramEnd"/>
      <w:r w:rsidRPr="00176DBE">
        <w:t xml:space="preserve"> dne………..</w:t>
      </w:r>
      <w:r w:rsidRPr="00176DBE">
        <w:tab/>
      </w:r>
      <w:r w:rsidRPr="00176DBE">
        <w:tab/>
      </w:r>
      <w:r w:rsidR="00D43B05" w:rsidRPr="00176DBE">
        <w:t xml:space="preserve">                  </w:t>
      </w:r>
    </w:p>
    <w:p w:rsidR="00DB3207" w:rsidRPr="00176DBE" w:rsidRDefault="00DB3207" w:rsidP="00D43B05">
      <w:pPr>
        <w:spacing w:after="0"/>
        <w:ind w:left="357"/>
      </w:pPr>
    </w:p>
    <w:p w:rsidR="00D43B05" w:rsidRPr="00176DBE" w:rsidRDefault="00D43B05" w:rsidP="00C62303">
      <w:pPr>
        <w:spacing w:after="0"/>
        <w:ind w:left="4956"/>
      </w:pPr>
      <w:r w:rsidRPr="00176DBE">
        <w:t xml:space="preserve"> </w:t>
      </w:r>
      <w:r w:rsidR="00C62303">
        <w:t xml:space="preserve">          </w:t>
      </w:r>
      <w:r w:rsidRPr="00176DBE">
        <w:t>……………………………………</w:t>
      </w:r>
    </w:p>
    <w:p w:rsidR="00D43B05" w:rsidRPr="00176DBE" w:rsidRDefault="00D43B05" w:rsidP="00D43B05">
      <w:pPr>
        <w:spacing w:after="0"/>
        <w:ind w:left="4956" w:firstLine="708"/>
        <w:jc w:val="center"/>
        <w:rPr>
          <w:rFonts w:eastAsia="Times New Roman"/>
        </w:rPr>
      </w:pPr>
      <w:r w:rsidRPr="00176DBE">
        <w:rPr>
          <w:rFonts w:eastAsia="Times New Roman"/>
        </w:rPr>
        <w:t>jméno, příjmení, podpis</w:t>
      </w:r>
    </w:p>
    <w:p w:rsidR="00D43B05" w:rsidRPr="00176DBE" w:rsidRDefault="00D43B05" w:rsidP="00D43B05">
      <w:pPr>
        <w:spacing w:after="0"/>
        <w:jc w:val="right"/>
      </w:pPr>
      <w:r w:rsidRPr="00176DBE">
        <w:rPr>
          <w:rFonts w:eastAsia="Times New Roman"/>
        </w:rPr>
        <w:t xml:space="preserve">osoby oprávněné jednat za </w:t>
      </w:r>
      <w:r w:rsidR="00176DBE" w:rsidRPr="00176DBE">
        <w:rPr>
          <w:rFonts w:eastAsia="Times New Roman"/>
        </w:rPr>
        <w:t>účastníka</w:t>
      </w:r>
    </w:p>
    <w:sectPr w:rsidR="00D43B05" w:rsidRPr="00176DBE" w:rsidSect="006476B4">
      <w:headerReference w:type="default" r:id="rId8"/>
      <w:footerReference w:type="default" r:id="rId9"/>
      <w:pgSz w:w="11906" w:h="16838"/>
      <w:pgMar w:top="1380" w:right="1417" w:bottom="1134" w:left="1417" w:header="283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BA2" w:rsidRDefault="00111BA2" w:rsidP="00111BA2">
      <w:pPr>
        <w:spacing w:after="0"/>
      </w:pPr>
      <w:r>
        <w:separator/>
      </w:r>
    </w:p>
  </w:endnote>
  <w:endnote w:type="continuationSeparator" w:id="0">
    <w:p w:rsidR="00111BA2" w:rsidRDefault="00111BA2" w:rsidP="00111B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Pr="00AE7E53" w:rsidRDefault="00C62303" w:rsidP="00C62303">
    <w:pPr>
      <w:spacing w:after="0"/>
      <w:ind w:left="708" w:firstLine="708"/>
      <w:jc w:val="right"/>
      <w:rPr>
        <w:color w:val="FF0000"/>
      </w:rPr>
    </w:pPr>
    <w:r>
      <w:rPr>
        <w:rFonts w:eastAsia="Times New Roman"/>
        <w:bCs/>
      </w:rPr>
      <w:t xml:space="preserve">  </w:t>
    </w:r>
    <w:r w:rsidR="00BE49C7" w:rsidRPr="00AE7E53">
      <w:rPr>
        <w:rFonts w:eastAsia="Times New Roman"/>
        <w:bCs/>
      </w:rPr>
      <w:t>„</w:t>
    </w:r>
    <w:r>
      <w:rPr>
        <w:rFonts w:eastAsia="Times New Roman"/>
        <w:bCs/>
      </w:rPr>
      <w:t>Rozšíření separace odpadu města Holice</w:t>
    </w:r>
    <w:r w:rsidR="00BE49C7" w:rsidRPr="00AE7E53">
      <w:rPr>
        <w:rFonts w:eastAsia="Times New Roman"/>
        <w:bCs/>
      </w:rPr>
      <w:t>“</w:t>
    </w:r>
  </w:p>
  <w:p w:rsidR="00111BA2" w:rsidRDefault="00111BA2" w:rsidP="00111BA2">
    <w:pPr>
      <w:pStyle w:val="Zpat"/>
      <w:jc w:val="right"/>
    </w:pPr>
    <w:r>
      <w:t xml:space="preserve">Příloha č. </w:t>
    </w:r>
    <w:r w:rsidR="00764D37">
      <w:t>4</w:t>
    </w:r>
    <w:r w:rsidR="00DB3207">
      <w:t>_Výkaz výměr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BA2" w:rsidRDefault="00111BA2" w:rsidP="00111BA2">
      <w:pPr>
        <w:spacing w:after="0"/>
      </w:pPr>
      <w:r>
        <w:separator/>
      </w:r>
    </w:p>
  </w:footnote>
  <w:footnote w:type="continuationSeparator" w:id="0">
    <w:p w:rsidR="00111BA2" w:rsidRDefault="00111BA2" w:rsidP="00111B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BA2" w:rsidRDefault="006476B4">
    <w:pPr>
      <w:pStyle w:val="Zhlav"/>
    </w:pPr>
    <w:r>
      <w:rPr>
        <w:rFonts w:eastAsia="Calibri"/>
        <w:noProof/>
      </w:rPr>
      <w:drawing>
        <wp:anchor distT="0" distB="0" distL="114300" distR="114300" simplePos="0" relativeHeight="251657216" behindDoc="0" locked="0" layoutInCell="1" allowOverlap="1" wp14:anchorId="45E7509F" wp14:editId="560CB3B6">
          <wp:simplePos x="0" y="0"/>
          <wp:positionH relativeFrom="column">
            <wp:posOffset>3853180</wp:posOffset>
          </wp:positionH>
          <wp:positionV relativeFrom="paragraph">
            <wp:posOffset>13970</wp:posOffset>
          </wp:positionV>
          <wp:extent cx="2190750" cy="785363"/>
          <wp:effectExtent l="0" t="0" r="0" b="0"/>
          <wp:wrapNone/>
          <wp:docPr id="11" name="Obrázek 11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7853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1BA2">
      <w:rPr>
        <w:rFonts w:eastAsia="Calibri"/>
        <w:noProof/>
      </w:rPr>
      <w:drawing>
        <wp:inline distT="0" distB="0" distL="0" distR="0" wp14:anchorId="50AA4EE6" wp14:editId="30A1AFF0">
          <wp:extent cx="2089867" cy="802005"/>
          <wp:effectExtent l="0" t="0" r="5715" b="0"/>
          <wp:docPr id="12" name="Obrázek 12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371" cy="804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B50D8"/>
    <w:multiLevelType w:val="multilevel"/>
    <w:tmpl w:val="D9A89068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">
    <w:nsid w:val="326631F1"/>
    <w:multiLevelType w:val="hybridMultilevel"/>
    <w:tmpl w:val="8A36A7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41EB1"/>
    <w:multiLevelType w:val="hybridMultilevel"/>
    <w:tmpl w:val="A82C50A6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A855EF"/>
    <w:multiLevelType w:val="hybridMultilevel"/>
    <w:tmpl w:val="045C9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27"/>
    <w:rsid w:val="00111BA2"/>
    <w:rsid w:val="001259ED"/>
    <w:rsid w:val="00176DBE"/>
    <w:rsid w:val="002958BB"/>
    <w:rsid w:val="002E4A1D"/>
    <w:rsid w:val="003243E4"/>
    <w:rsid w:val="00380E1E"/>
    <w:rsid w:val="00481776"/>
    <w:rsid w:val="00526E0E"/>
    <w:rsid w:val="00533C27"/>
    <w:rsid w:val="005400FF"/>
    <w:rsid w:val="006476B4"/>
    <w:rsid w:val="006512C5"/>
    <w:rsid w:val="00667475"/>
    <w:rsid w:val="0073614A"/>
    <w:rsid w:val="007424C2"/>
    <w:rsid w:val="00764D37"/>
    <w:rsid w:val="007D1D19"/>
    <w:rsid w:val="008E2368"/>
    <w:rsid w:val="00942F20"/>
    <w:rsid w:val="00950CC3"/>
    <w:rsid w:val="00966123"/>
    <w:rsid w:val="009A2F6D"/>
    <w:rsid w:val="00A36842"/>
    <w:rsid w:val="00A648F6"/>
    <w:rsid w:val="00AC76A0"/>
    <w:rsid w:val="00AE7E53"/>
    <w:rsid w:val="00AF544C"/>
    <w:rsid w:val="00B75B0D"/>
    <w:rsid w:val="00BC1B45"/>
    <w:rsid w:val="00BE49C7"/>
    <w:rsid w:val="00C62303"/>
    <w:rsid w:val="00CE4EC9"/>
    <w:rsid w:val="00D078A5"/>
    <w:rsid w:val="00D34702"/>
    <w:rsid w:val="00D43B05"/>
    <w:rsid w:val="00DB3207"/>
    <w:rsid w:val="00DF56E7"/>
    <w:rsid w:val="00EC2524"/>
    <w:rsid w:val="00FA211D"/>
    <w:rsid w:val="00FD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OdstavecseseznamemChar1">
    <w:name w:val="Odstavec se seznamem Char1"/>
    <w:basedOn w:val="Standardnpsmoodstavce"/>
    <w:rsid w:val="00DB3207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C27"/>
    <w:pPr>
      <w:spacing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33C27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111BA2"/>
    <w:rPr>
      <w:sz w:val="16"/>
      <w:szCs w:val="16"/>
    </w:rPr>
  </w:style>
  <w:style w:type="paragraph" w:styleId="Textkomente">
    <w:name w:val="annotation text"/>
    <w:basedOn w:val="Normln"/>
    <w:link w:val="TextkomenteChar"/>
    <w:rsid w:val="00111BA2"/>
    <w:pPr>
      <w:suppressAutoHyphens/>
      <w:overflowPunct w:val="0"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1B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1BA2"/>
    <w:rPr>
      <w:rFonts w:ascii="Tahoma" w:eastAsiaTheme="minorEastAsi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CharChar">
    <w:name w:val="Char Char"/>
    <w:basedOn w:val="Normln"/>
    <w:rsid w:val="00942F20"/>
    <w:pPr>
      <w:spacing w:after="160" w:line="240" w:lineRule="exact"/>
    </w:pPr>
    <w:rPr>
      <w:rFonts w:ascii="Times New Roman Bold" w:eastAsia="Times New Roman" w:hAnsi="Times New Roman Bold"/>
      <w:sz w:val="22"/>
      <w:szCs w:val="26"/>
      <w:lang w:val="sk-SK"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42F20"/>
    <w:pPr>
      <w:suppressAutoHyphens/>
      <w:overflowPunct w:val="0"/>
      <w:spacing w:line="100" w:lineRule="atLeast"/>
      <w:ind w:left="720"/>
      <w:jc w:val="left"/>
    </w:pPr>
    <w:rPr>
      <w:rFonts w:ascii="Calibri" w:eastAsia="SimSun" w:hAnsi="Calibri" w:cs="Calibri"/>
      <w:color w:val="000000"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42F20"/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OdstavecseseznamemChar1">
    <w:name w:val="Odstavec se seznamem Char1"/>
    <w:basedOn w:val="Standardnpsmoodstavce"/>
    <w:rsid w:val="00DB3207"/>
    <w:rPr>
      <w:rFonts w:ascii="Calibri" w:eastAsia="SimSun" w:hAnsi="Calibri" w:cs="Calibri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Trachtová</dc:creator>
  <cp:lastModifiedBy>bursa</cp:lastModifiedBy>
  <cp:revision>19</cp:revision>
  <cp:lastPrinted>2017-11-01T14:08:00Z</cp:lastPrinted>
  <dcterms:created xsi:type="dcterms:W3CDTF">2017-08-02T10:05:00Z</dcterms:created>
  <dcterms:modified xsi:type="dcterms:W3CDTF">2020-02-18T13:25:00Z</dcterms:modified>
</cp:coreProperties>
</file>